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B7" w:rsidRDefault="005B6DB7" w:rsidP="005B6D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 xml:space="preserve">LA PITTURA </w:t>
      </w:r>
      <w:proofErr w:type="spellStart"/>
      <w:r w:rsidRPr="003D543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D543A">
        <w:rPr>
          <w:rFonts w:ascii="Times New Roman" w:hAnsi="Times New Roman" w:cs="Times New Roman"/>
          <w:sz w:val="24"/>
          <w:szCs w:val="24"/>
        </w:rPr>
        <w:t xml:space="preserve"> IDEA</w:t>
      </w: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 xml:space="preserve"> GUIDO BALLO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0C87" w:rsidRDefault="00650C8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5B6DB7" w:rsidRPr="003D543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B6DB7">
        <w:rPr>
          <w:rFonts w:ascii="Times New Roman" w:hAnsi="Times New Roman" w:cs="Times New Roman"/>
          <w:i/>
          <w:iCs/>
          <w:sz w:val="24"/>
          <w:szCs w:val="24"/>
        </w:rPr>
        <w:t>rte</w:t>
      </w:r>
      <w:r w:rsidR="005B6DB7" w:rsidRPr="003D543A">
        <w:rPr>
          <w:rFonts w:ascii="Times New Roman" w:hAnsi="Times New Roman" w:cs="Times New Roman"/>
          <w:i/>
          <w:iCs/>
          <w:sz w:val="24"/>
          <w:szCs w:val="24"/>
        </w:rPr>
        <w:t xml:space="preserve"> di Francesco Guadagnuolo si caratterizza per due componenti poetiche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che sono in stretto rapporto fra loro: figurazione ed astrazione. La prima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è raccordabile ad un realismo intriso di espressionismo e comportamentismo; la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seconda deriva dall’astrattismo e si sviluppa in senso informale, concettuale e arte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povera.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Alle neo formulazioni realiste, all’astrattismo ed alla Nuova figurazione Guadagnuolo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infonde un suo originale dinamismo espressivo e intellettuale che rende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la sua pittura densa di significati: una vera “pittura di idea”, e mai di sola pura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astrazione. Tutto ciò è dovuto alla forza del contenuto, che rivela una certa contiguità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 xml:space="preserve">con alcune avanguardie vicine al </w:t>
      </w:r>
      <w:r w:rsidRPr="003D543A">
        <w:rPr>
          <w:rFonts w:ascii="Times New Roman" w:hAnsi="Times New Roman" w:cs="Times New Roman"/>
          <w:sz w:val="24"/>
          <w:szCs w:val="24"/>
        </w:rPr>
        <w:t>vitalismo</w:t>
      </w:r>
      <w:r w:rsidRPr="003D543A">
        <w:rPr>
          <w:rFonts w:ascii="Times New Roman" w:hAnsi="Times New Roman" w:cs="Times New Roman"/>
          <w:i/>
          <w:iCs/>
          <w:sz w:val="24"/>
          <w:szCs w:val="24"/>
        </w:rPr>
        <w:t>, all’</w:t>
      </w:r>
      <w:r w:rsidRPr="003D543A">
        <w:rPr>
          <w:rFonts w:ascii="Times New Roman" w:hAnsi="Times New Roman" w:cs="Times New Roman"/>
          <w:sz w:val="24"/>
          <w:szCs w:val="24"/>
        </w:rPr>
        <w:t xml:space="preserve">action painting </w:t>
      </w:r>
      <w:r w:rsidRPr="003D543A">
        <w:rPr>
          <w:rFonts w:ascii="Times New Roman" w:hAnsi="Times New Roman" w:cs="Times New Roman"/>
          <w:i/>
          <w:iCs/>
          <w:sz w:val="24"/>
          <w:szCs w:val="24"/>
        </w:rPr>
        <w:t xml:space="preserve">e alla </w:t>
      </w:r>
      <w:r w:rsidRPr="003D543A">
        <w:rPr>
          <w:rFonts w:ascii="Times New Roman" w:hAnsi="Times New Roman" w:cs="Times New Roman"/>
          <w:sz w:val="24"/>
          <w:szCs w:val="24"/>
        </w:rPr>
        <w:t>poetica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>del gesto.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Un’importante nota distintiva della creatività di questo artista è, infatti, un’accentuata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 xml:space="preserve">empatia con il </w:t>
      </w:r>
      <w:r w:rsidRPr="003D543A">
        <w:rPr>
          <w:rFonts w:ascii="Times New Roman" w:hAnsi="Times New Roman" w:cs="Times New Roman"/>
          <w:sz w:val="24"/>
          <w:szCs w:val="24"/>
        </w:rPr>
        <w:t>vitalismo</w:t>
      </w:r>
      <w:r w:rsidRPr="003D543A">
        <w:rPr>
          <w:rFonts w:ascii="Times New Roman" w:hAnsi="Times New Roman" w:cs="Times New Roman"/>
          <w:i/>
          <w:iCs/>
          <w:sz w:val="24"/>
          <w:szCs w:val="24"/>
        </w:rPr>
        <w:t>, e quindi una sua concezione dell’arte come sintesi.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Concezione che gli permette il superamento dell’antitesi fra l’espressione figurativa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e quella simbolica, anche se la sua cultura umanistica e l’ispirazione spesso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letteraria lo conducono verso una forma di astrattismo concettuale che si manifesta,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ad esempio, in opere basate sull’inserimento graficizzato di scritture prosastiche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e poetiche, di spartiti musicali e formule scientifiche (quasi sempre autografe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degli autori). Un costante intervento mentale, poi, fa sì che vengano dall’artista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 xml:space="preserve">elaborate </w:t>
      </w:r>
      <w:r w:rsidRPr="003D543A">
        <w:rPr>
          <w:rFonts w:ascii="Times New Roman" w:hAnsi="Times New Roman" w:cs="Times New Roman"/>
          <w:sz w:val="24"/>
          <w:szCs w:val="24"/>
        </w:rPr>
        <w:t>immagini</w:t>
      </w:r>
      <w:r w:rsidRPr="003D543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543A">
        <w:rPr>
          <w:rFonts w:ascii="Times New Roman" w:hAnsi="Times New Roman" w:cs="Times New Roman"/>
          <w:sz w:val="24"/>
          <w:szCs w:val="24"/>
        </w:rPr>
        <w:t xml:space="preserve">sintesi </w:t>
      </w:r>
      <w:r w:rsidRPr="003D543A">
        <w:rPr>
          <w:rFonts w:ascii="Times New Roman" w:hAnsi="Times New Roman" w:cs="Times New Roman"/>
          <w:i/>
          <w:iCs/>
          <w:sz w:val="24"/>
          <w:szCs w:val="24"/>
        </w:rPr>
        <w:t>dilatate nello spazio, dinamizzate nel tempo e bloccate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nell’</w:t>
      </w:r>
      <w:r w:rsidRPr="003D543A">
        <w:rPr>
          <w:rFonts w:ascii="Times New Roman" w:hAnsi="Times New Roman" w:cs="Times New Roman"/>
          <w:sz w:val="24"/>
          <w:szCs w:val="24"/>
        </w:rPr>
        <w:t xml:space="preserve">hic et nunc </w:t>
      </w:r>
      <w:r w:rsidRPr="003D543A">
        <w:rPr>
          <w:rFonts w:ascii="Times New Roman" w:hAnsi="Times New Roman" w:cs="Times New Roman"/>
          <w:i/>
          <w:iCs/>
          <w:sz w:val="24"/>
          <w:szCs w:val="24"/>
        </w:rPr>
        <w:t>del gesto; ma è in questo o quel particolare del quadro che si rivela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al meglio una sorta di combinazione tra figurazione ed astrazione.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L’arte di Guadagnuolo non è mai occasionale o puramente formale, in quanto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nasce dall’interno della sua complessa personalità, sensibile alla vita e tesa costantemente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all’innovazione linguistica attraverso la pratica di una costante ricerca.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La sua attenzione si è sempre concentrata sui problemi esistenziali dell’uomo, in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particolare sulle inquietudini e sui conflitti della società attuale, utilizzando anche</w:t>
      </w:r>
    </w:p>
    <w:p w:rsidR="005B6DB7" w:rsidRPr="003D543A" w:rsidRDefault="00650C8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le forme espressive più moderne legate ai mezzi di comunicazione di massa al fine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di sottolineare la drammaticità da cui è spesso connotata la vita contemporanea.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Tutto questo si fonde in un’espressione artistica originale definibile, con Rosario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Assunto, linguaggio di “arte e vita”. Infatti, i fini espressivi nascono sempre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dall’identità tra vita e creazione, sfociante in una vitalità rivolta all’assoluto. Profonda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è, infatti, la sua affinità con artisti di drammatica espressività, comune agli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stessi l’impetuosità e l’immediatezza espressiva, considerando anche le insolute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contraddizioni del nostro tempo ben al di là del mero connotato cronachistico.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L’arte non è soltanto un “prodotto estetico”, ma attività morale. Per questa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considerazione, l’artista Guadagnuolo è innanzitutto uomo, molto attento alle implicazioni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culturali del “fare arte” in una società complessa come la nostra. Egli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è sempre ben documentato su tutto quello che accade in Europa e fuori, specie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per ciò che concerne l’America in materia di arte contemporanea, pur rimanendo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sempre fedele alla grande tradizione dell’arte italiana. Se per alcuni artisti di casa</w:t>
      </w:r>
    </w:p>
    <w:p w:rsidR="005B6DB7" w:rsidRPr="003D543A" w:rsidRDefault="005B6DB7" w:rsidP="006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nostra la linea della ricerca estetica americana è essenziale, per Guadagnuolo è</w:t>
      </w:r>
    </w:p>
    <w:p w:rsidR="005B6DB7" w:rsidRPr="003D543A" w:rsidRDefault="005B6DB7" w:rsidP="00650C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43A">
        <w:rPr>
          <w:rFonts w:ascii="Times New Roman" w:hAnsi="Times New Roman" w:cs="Times New Roman"/>
          <w:i/>
          <w:iCs/>
          <w:sz w:val="24"/>
          <w:szCs w:val="24"/>
        </w:rPr>
        <w:t>solo motivo di una conoscenza allargata e di arricchimento valutativo.</w:t>
      </w:r>
    </w:p>
    <w:p w:rsidR="005B6DB7" w:rsidRPr="003D543A" w:rsidRDefault="005B6DB7" w:rsidP="00650C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6DB7" w:rsidRPr="003D543A" w:rsidRDefault="005B6DB7" w:rsidP="00650C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lastRenderedPageBreak/>
        <w:t>DIALOGO E CONTAMINAZIONE TRA FORME E TESTI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>AFFINCHÉ FORME O PAROLE, PIENAMENTE DICANO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>ANTONIO DEL GUERCIO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Nei lavori di Francesco Guadagnuolo, laddove egli fa intervenire testi entro le forme pittoriche, colpisce il carattere del tutto organico della connessione. In altri termini, a differenza di altri casi nella complessa vicenda del rapporto forma-parola, qui non c’è dicotomia o puro affiancamento tra i due termini, ma rifusione in un dettato che si qualifica inequivocabilmente come irruzione espressivo-visuale. Non a caso a volte la parola alfabetica può cedere il posto alla parola ideografica, dando luogo ad un’identica chiarezza formale.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Le parole – forme ovviamente statiche, o più precisamente immobili nel loro sottoporsi alla lentezza della lettura – qui sono immesse in uno spazio dominato da forme clamorosamente dinamiche. Non a caso vi domina l’autografia, che le sottrae all’immobilità e ad ogni estraneità rispetto alle forme della pittura.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L</w:t>
      </w:r>
      <w:r w:rsidR="00650C87">
        <w:rPr>
          <w:rFonts w:ascii="Times New Roman" w:eastAsia="BookAntiqua" w:hAnsi="Times New Roman" w:cs="Times New Roman"/>
          <w:sz w:val="24"/>
          <w:szCs w:val="24"/>
        </w:rPr>
        <w:t>o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 spazio, ora nettamente delimitato ora aperto o mescolato alla pittura, che è occupato dai testi – o dai lacerti di testi - mi appare come una sorta di vano aperto entro l’opera: a volte ha quasi un valore di ferita, di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vulnus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inferto all’effusione delle forme; a volte, invece, è il testo – stavo per dire la stele, lapsus forse significativo – ad essere ferito, o turbato, da quell’effusione. Un moto, o se si vuole una dialettica, che sempre conferma l’omogenea organicità dell’opera. Il dialogo intenso e in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reciproca contaminazione tra forme e testi, è a sua volta parte del dialogo che, di opera in opera, ha luogo tra aggregazioni di forme “piene” e diradamenti dei loro nessi. È tale reciproca contaminazione, come ha ben visto Antonio Gasbarrini, a dare quell’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ut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il valore non di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come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ma di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>affinché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: affinché tutto, forme o parole, pienamente dicano. 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L’esperienza di Francesco Guadagnuolo, lungamente protratta in una ricerca intensa, si consegna dunque ad una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vicenda – quella del rapporto tra forme e parole – che ha segnato e segna aspetti rilevanti della ricerca artistica contemporanea, apportandovi soluzioni particolarmente originali. Posso dire, con tutto il rispetto per altre e diverse soluzioni, che la via scelta da Guadagnuolo ha da parte mia un più persuaso consenso?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Pr="003D543A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lastRenderedPageBreak/>
        <w:t>GUADAGNUOLO E I POETI DEL NOSTRO TEMPO</w:t>
      </w: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>GIULIANO MANACORDA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Francesco Guadagnuolo sviluppa un personale rapporto tra arti visive e letteratura attraverso l’armonia del segno e della parola. </w:t>
      </w:r>
      <w:r w:rsidR="00650C87" w:rsidRPr="003D543A">
        <w:rPr>
          <w:rFonts w:ascii="Times New Roman" w:eastAsia="BookAntiqua" w:hAnsi="Times New Roman" w:cs="Times New Roman"/>
          <w:sz w:val="24"/>
          <w:szCs w:val="24"/>
        </w:rPr>
        <w:t>La connessione tra pittura e poesia è costituita proprio sulla grafia degli autori, dei componimenti presentati nei dipinti, trovando in essi soluzioni davvero originali.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 Le poesie autografe acquistano un valore grafico dialogando tra l’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espressività del segno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e il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contenuto semantico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della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parola verso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costituenti nella tavola pittorica. Guadagnuolo è portato così ad inglobare la scrittura come svolgimento artistico,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dando in un certo modo parola alla pittura, rilevandone tutto il fascino estetico, diverso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nella tipologia e nella ricerca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 xml:space="preserve">verbo-visiva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della “Poesia Visiva”. 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La mostra “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>Luoghi del Tempo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”, oltre al suo valore artistico e letterario, vuole essere anche una riflessione sulla situazione culturale del nostro secolo, concentrando nomi di alto valore nazionale ed internazionale: diventa, infatti, ricerca iconologica e letteraria con un vasto panorama poetico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che costituisce l’arco di un intero secolo, il Novecento</w:t>
      </w:r>
      <w:r w:rsidR="00A6709D">
        <w:rPr>
          <w:rFonts w:ascii="Times New Roman" w:eastAsia="BookAntiqua" w:hAnsi="Times New Roman" w:cs="Times New Roman"/>
          <w:sz w:val="24"/>
          <w:szCs w:val="24"/>
        </w:rPr>
        <w:t>..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.</w:t>
      </w: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lastRenderedPageBreak/>
        <w:t>TRA POESIA ED ARTI VISIVE: UNA MOSTRA SENZA PRECEDENTI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B5" w:rsidRDefault="009B3BB5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Times New Roman" w:hAnsi="Times New Roman" w:cs="Times New Roman"/>
          <w:sz w:val="24"/>
          <w:szCs w:val="24"/>
        </w:rPr>
        <w:t>CARLO FABRIZIO CARLI</w:t>
      </w:r>
    </w:p>
    <w:p w:rsidR="005B6DB7" w:rsidRPr="003D543A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sz w:val="24"/>
          <w:szCs w:val="24"/>
        </w:rPr>
      </w:pP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Chi di noi, seppure a diverso titolo “addetti ai lavori” (artisti, critici, collezionisti,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appassionati d’arte), non ha lamentato negli ultimi anni il progressivo appiattirsi sulla ripetitività, di cui siamo tutti costretti a prendere atto visitando le mostre, frequentando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gli studi, sfogliando le riviste?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Questa mostra di Francesco Guadagnuolo si pone invece in significativa controtendenza: ben pochi, in tutta onestà, potranno scorgervi del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>déjà vu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. Non mi risulta, infatti, che l’operazione che egli ci propone abbia avuto dei precedenti. Riuscendo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oltretutto, questo suo operare, assai denso (e intrigante) per stratificazioni culturali e valenze espressive.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Quando avrò detto che, ricondotto all’essenziale, il tema della sua ricerca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consiste nell’istituire un rapporto, un’interazione tra poesia ed arti visive, so tuttavia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che rischierò di essere frainteso. Certo, tanti artisti, anche celebri, si sono applicati ad “illustrare” opere poetiche di ogni tempo.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Ma, appunto, l’intento di Guadagnuolo si pone in un terreno lontanissimo dall’illustrazione, ovvero dall’interpretazione figurativa, o comunque visiva, del testo poetico. A lui interessa invece coinvolgere direttamente, materialmente, perfino segnicamente la scrittura poetica nell’intervento pittorico, in modo che questo scaturisca dall’incontro – anche, ma non di necessità, personale – tra poeta e pittore.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Guadagnuolo ha così chiesto a circa 500 poeti (non tutti notissimi – anche se tra loro figurano i maggiori italiani e stranieri contemporanei – ma tutti di sicura qualità), che hanno accettato l’invito con entusiasmo, di inviargli un proprio testo autografo trascritto su un cartoncino di varie dimensioni. Quattro i temi proposti: tempo, storia, luogo, memoria; quattro motivi che già da anni presiedono al lavoro di Guadagnuolo e scandiscono i registri della poesia e dell’esistenza, come un ideale sistema di ascisse e di ordinate.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Cosicché, oltre naturalmente al prioritario significato letterario, i testi poetici assumono un valore propriamente grafico, perfino connesso alla qualità del supporto scrittorio.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Si tratta di argomentazioni verso cui la cultura occidentale ha dimostrato un’inveterata sordità, ma che risultano invece pienamente recepite dalla sensibilità orientale. </w:t>
      </w:r>
      <w:r w:rsidR="00A6709D" w:rsidRPr="003D543A">
        <w:rPr>
          <w:rFonts w:ascii="Times New Roman" w:eastAsia="BookAntiqua" w:hAnsi="Times New Roman" w:cs="Times New Roman"/>
          <w:sz w:val="24"/>
          <w:szCs w:val="24"/>
        </w:rPr>
        <w:t>In particolare da quella giapponese, improntata alla filosofia zen, che le virtualità segniche della scrittura – e in particolare della scrittura poetica – ha sempre promosso a manifestazione della maggiore importanza.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 (Fino, magari, per via indiretta, a riverberarsi sulla vicenda occidentale </w:t>
      </w:r>
      <w:r w:rsidRPr="003D543A">
        <w:rPr>
          <w:rFonts w:ascii="Times New Roman" w:eastAsia="BookAntiqua" w:hAnsi="Times New Roman" w:cs="Times New Roman"/>
          <w:i/>
          <w:iCs/>
          <w:sz w:val="24"/>
          <w:szCs w:val="24"/>
        </w:rPr>
        <w:t>in formel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).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Questi tasselli poetici, Guadagnuolo ha inserito – né enfatizzandoli, né rendendoli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 xml:space="preserve">ancillari – all’interno della sua già sperimentata ricerca sui calendari. Dove l’impiego quale supporto pittorico di elementi abitualmente (e verrebbe voglia di aggiungere: rigorosamente, ritualmente) obliterati e scartati dal giorno che subentra al giorno, assume valenze manifestamente ludiche ed esistenzialmente indocili.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Non meno gremito di allusioni e di rimandi l’intervento su particolari della figurazione aulica, che vengono in questo modo sconvolti e trasfigurati, trasferiti in un contesto completamente “altro”.</w:t>
      </w: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D543A">
        <w:rPr>
          <w:rFonts w:ascii="Times New Roman" w:eastAsia="BookAntiqua" w:hAnsi="Times New Roman" w:cs="Times New Roman"/>
          <w:sz w:val="24"/>
          <w:szCs w:val="24"/>
        </w:rPr>
        <w:t>Arte povera? Concettuale? Magari (seppure in assenza del dato pubblicitario) pop? Nei vari casi, qualche aspetto, qualche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3D543A">
        <w:rPr>
          <w:rFonts w:ascii="Times New Roman" w:eastAsia="BookAntiqua" w:hAnsi="Times New Roman" w:cs="Times New Roman"/>
          <w:sz w:val="24"/>
          <w:szCs w:val="24"/>
        </w:rPr>
        <w:t>circostanza sembra avallare l’accostamento, peraltro subito frustrato da altre riflessioni. Non c’è davvero qui da rinserrarsi nelle formule e nei luoghi comuni.</w:t>
      </w: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87" w:rsidRDefault="00650C8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B7" w:rsidRPr="0041026C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6C">
        <w:rPr>
          <w:rFonts w:ascii="Times New Roman" w:hAnsi="Times New Roman" w:cs="Times New Roman"/>
          <w:sz w:val="24"/>
          <w:szCs w:val="24"/>
        </w:rPr>
        <w:lastRenderedPageBreak/>
        <w:t>CORPO-SPAZIO E SEGNI VITALI</w:t>
      </w:r>
    </w:p>
    <w:p w:rsidR="005B6DB7" w:rsidRPr="0041026C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B7" w:rsidRPr="0041026C" w:rsidRDefault="005B6DB7" w:rsidP="005B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26C">
        <w:rPr>
          <w:rFonts w:ascii="Times New Roman" w:hAnsi="Times New Roman" w:cs="Times New Roman"/>
          <w:sz w:val="24"/>
          <w:szCs w:val="24"/>
        </w:rPr>
        <w:t>ANTONIO DEL GUERCIO</w:t>
      </w:r>
    </w:p>
    <w:p w:rsidR="005B6DB7" w:rsidRPr="0041026C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</w:p>
    <w:p w:rsidR="005B6DB7" w:rsidRPr="0041026C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>Nella ricca e articolata produzione artistica di Francesco Guadagnuolo, distesa su orizzonti culturali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 xml:space="preserve">e metodologici che includono anche un rapporto – o forse si dirà meglio un corpo a corpo – con la scienza e la tecnica, ogni riguardante può compiere la sua scelta. La mia s’appunta soprattutto sul tema del corpo.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 xml:space="preserve">Un tema che Guadagnuolo svolge in una sorta di drammatico ravvicinamento a ciò che il corpo ha dentro di sé, viscere scheletro sangue umori. Forme e parti del corpo vengono come scomposte e ricomposte dentro uno spazio carico anch’esso di segni vitali.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>Lo spazio dell’opera si presenta tuttavia marcato da spartizioni nette, che di solito hanno al centro – verticalmente disposto – il cenno o il fantasma del corpo. È interessante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1026C">
        <w:rPr>
          <w:rFonts w:ascii="Times New Roman" w:eastAsia="BookAntiqua" w:hAnsi="Times New Roman" w:cs="Times New Roman"/>
          <w:sz w:val="24"/>
          <w:szCs w:val="24"/>
        </w:rPr>
        <w:t xml:space="preserve">notare che questo tipo di spartizione lo si ritrova anche in altre esperienze, quelle per esempio che egli intitola ad arte e scienza.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>Sempre o quasi sempre, dunque, una parte centrale, rettangolare e verticale in alcuni casi, tendenzialmente quadrata o circolare in altri, s’impone al riguardante come una sorta di bersaglio dello sguardo. Un bersaglio che è un vero 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1026C">
        <w:rPr>
          <w:rFonts w:ascii="Times New Roman" w:eastAsia="BookAntiqua" w:hAnsi="Times New Roman" w:cs="Times New Roman"/>
          <w:sz w:val="24"/>
          <w:szCs w:val="24"/>
        </w:rPr>
        <w:t xml:space="preserve">proprio cuore palpitante.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>Sembra di poter dire che il pittore, mentre offre allo sguardo ciò che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1026C">
        <w:rPr>
          <w:rFonts w:ascii="Times New Roman" w:eastAsia="BookAntiqua" w:hAnsi="Times New Roman" w:cs="Times New Roman"/>
          <w:sz w:val="24"/>
          <w:szCs w:val="24"/>
        </w:rPr>
        <w:t xml:space="preserve">nella sua odissea – nel corpo come nel pensiero – ha trovato o ritrovato, mette a nudo anche la tastiera completa delle emozioni, delle pulsioni, delle visioni fantasmatiche, che l’odissea stessa ha portato alla luce, o ha fatto fermentare. </w:t>
      </w:r>
    </w:p>
    <w:p w:rsidR="00650C8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>Una traccia, qua e là, d’una sorta di equivalenza visiva di quelle che Rimbaud chiamava le “rousseurs amères de l’amour” segna a volte la sua presenza a chiudere dentro il cerchio dell’Eros tutto il percorso che egli compie.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:rsidR="005B6DB7" w:rsidRDefault="005B6DB7" w:rsidP="005B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1026C">
        <w:rPr>
          <w:rFonts w:ascii="Times New Roman" w:eastAsia="BookAntiqua" w:hAnsi="Times New Roman" w:cs="Times New Roman"/>
          <w:sz w:val="24"/>
          <w:szCs w:val="24"/>
        </w:rPr>
        <w:t>Queste, in estrema sintesi, le sensazioni e le idee che in me suscita la pittura di Francesco Guadagnuolo, nella sua intensa autenticità.</w:t>
      </w:r>
    </w:p>
    <w:sectPr w:rsidR="005B6DB7" w:rsidSect="00701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6DB7"/>
    <w:rsid w:val="00283859"/>
    <w:rsid w:val="0038741B"/>
    <w:rsid w:val="00447785"/>
    <w:rsid w:val="005343F3"/>
    <w:rsid w:val="005B6DB7"/>
    <w:rsid w:val="006148F7"/>
    <w:rsid w:val="00650C87"/>
    <w:rsid w:val="007014F6"/>
    <w:rsid w:val="009B3BB5"/>
    <w:rsid w:val="00A6709D"/>
    <w:rsid w:val="00CC5DE0"/>
    <w:rsid w:val="00E1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</dc:creator>
  <cp:keywords/>
  <dc:description/>
  <cp:lastModifiedBy>Aloi</cp:lastModifiedBy>
  <cp:revision>9</cp:revision>
  <dcterms:created xsi:type="dcterms:W3CDTF">2012-01-05T14:41:00Z</dcterms:created>
  <dcterms:modified xsi:type="dcterms:W3CDTF">2012-01-05T17:47:00Z</dcterms:modified>
</cp:coreProperties>
</file>